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Pandalicious</w:t>
      </w:r>
    </w:p>
    <w:p w:rsidR="00000000" w:rsidDel="00000000" w:rsidP="00000000" w:rsidRDefault="00000000" w:rsidRPr="00000000">
      <w:pPr>
        <w:pBdr/>
        <w:contextualSpacing w:val="0"/>
        <w:rPr/>
      </w:pPr>
      <w:r w:rsidDel="00000000" w:rsidR="00000000" w:rsidRPr="00000000">
        <w:rPr>
          <w:rtl w:val="0"/>
        </w:rPr>
        <w:t xml:space="preserve">In Pandalicious, you job is to collect fruits and give them to the panda. Click and hold so fruits are connected and release to collect them so the panda can get the juicy goodness that they require. Fruits of the same type can be connected diagonally or in straight lines, and you’ll need to harvest the longest chains you possibly can to get bonus points and extra time, so aim to connect more than five fruits. You need to collect various different fruits in each level and stay conscious of time because you only have so much of it. Why not play Pandalicious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